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3"/>
      </w:tblGrid>
      <w:tr w:rsidR="00C530A0" w:rsidRPr="000B2A97" w:rsidTr="00894783">
        <w:tc>
          <w:tcPr>
            <w:tcW w:w="13433" w:type="dxa"/>
            <w:tcBorders>
              <w:top w:val="nil"/>
              <w:left w:val="nil"/>
              <w:bottom w:val="single" w:sz="4" w:space="0" w:color="auto"/>
              <w:right w:val="nil"/>
            </w:tcBorders>
            <w:shd w:val="clear" w:color="auto" w:fill="FFFFFF" w:themeFill="background1"/>
            <w:vAlign w:val="center"/>
          </w:tcPr>
          <w:p w:rsidR="00116B75" w:rsidRPr="00116B75" w:rsidRDefault="00116B75" w:rsidP="00116B75">
            <w:pPr>
              <w:tabs>
                <w:tab w:val="left" w:pos="1775"/>
              </w:tabs>
              <w:spacing w:after="0" w:line="240" w:lineRule="auto"/>
              <w:jc w:val="right"/>
              <w:rPr>
                <w:rFonts w:ascii="Times New Roman" w:eastAsia="Arial Unicode MS" w:hAnsi="Times New Roman" w:cs="Times New Roman"/>
                <w:b/>
                <w:bCs/>
                <w:sz w:val="24"/>
                <w:szCs w:val="24"/>
              </w:rPr>
            </w:pPr>
            <w:r w:rsidRPr="00116B75">
              <w:rPr>
                <w:rFonts w:ascii="Times New Roman" w:eastAsia="Arial Unicode MS" w:hAnsi="Times New Roman" w:cs="Times New Roman"/>
                <w:b/>
                <w:bCs/>
                <w:sz w:val="24"/>
                <w:szCs w:val="24"/>
              </w:rPr>
              <w:t>Pielikums. Nr.</w:t>
            </w:r>
            <w:r>
              <w:rPr>
                <w:rFonts w:ascii="Times New Roman" w:eastAsia="Arial Unicode MS" w:hAnsi="Times New Roman" w:cs="Times New Roman"/>
                <w:b/>
                <w:bCs/>
                <w:sz w:val="24"/>
                <w:szCs w:val="24"/>
              </w:rPr>
              <w:t>2</w:t>
            </w:r>
            <w:bookmarkStart w:id="0" w:name="_GoBack"/>
            <w:bookmarkEnd w:id="0"/>
            <w:r w:rsidRPr="00116B75">
              <w:rPr>
                <w:rFonts w:ascii="Times New Roman" w:eastAsia="Arial Unicode MS" w:hAnsi="Times New Roman" w:cs="Times New Roman"/>
                <w:b/>
                <w:bCs/>
                <w:sz w:val="24"/>
                <w:szCs w:val="24"/>
              </w:rPr>
              <w:t xml:space="preserve">. </w:t>
            </w:r>
          </w:p>
          <w:p w:rsidR="00116B75" w:rsidRPr="00116B75" w:rsidRDefault="00116B75" w:rsidP="00116B75">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116B75">
              <w:rPr>
                <w:rFonts w:ascii="Times New Roman" w:eastAsia="Times New Roman" w:hAnsi="Times New Roman" w:cs="Times New Roman"/>
                <w:sz w:val="20"/>
                <w:szCs w:val="20"/>
                <w:lang w:eastAsia="lv-LV"/>
              </w:rPr>
              <w:t>Cenu aptaujas “</w:t>
            </w:r>
            <w:r w:rsidRPr="00116B75">
              <w:rPr>
                <w:rFonts w:ascii="Times New Roman" w:eastAsia="Times New Roman" w:hAnsi="Times New Roman" w:cs="Times New Roman"/>
                <w:bCs/>
                <w:sz w:val="20"/>
                <w:szCs w:val="20"/>
                <w:lang w:eastAsia="lv-LV"/>
              </w:rPr>
              <w:t xml:space="preserve">Pacientu novērošanas monitors anestezioloģijai ar </w:t>
            </w:r>
            <w:proofErr w:type="spellStart"/>
            <w:r w:rsidRPr="00116B75">
              <w:rPr>
                <w:rFonts w:ascii="Times New Roman" w:eastAsia="Times New Roman" w:hAnsi="Times New Roman" w:cs="Times New Roman"/>
                <w:bCs/>
                <w:sz w:val="20"/>
                <w:szCs w:val="20"/>
                <w:lang w:eastAsia="lv-LV"/>
              </w:rPr>
              <w:t>multigāzu</w:t>
            </w:r>
            <w:proofErr w:type="spellEnd"/>
            <w:r w:rsidRPr="00116B75">
              <w:rPr>
                <w:rFonts w:ascii="Times New Roman" w:eastAsia="Times New Roman" w:hAnsi="Times New Roman" w:cs="Times New Roman"/>
                <w:bCs/>
                <w:sz w:val="20"/>
                <w:szCs w:val="20"/>
                <w:lang w:eastAsia="lv-LV"/>
              </w:rPr>
              <w:t xml:space="preserve"> analizatoru</w:t>
            </w:r>
            <w:r w:rsidRPr="00116B75">
              <w:rPr>
                <w:rFonts w:ascii="Times New Roman" w:eastAsia="Times New Roman" w:hAnsi="Times New Roman" w:cs="Times New Roman"/>
                <w:sz w:val="20"/>
                <w:szCs w:val="20"/>
                <w:lang w:eastAsia="lv-LV"/>
              </w:rPr>
              <w:t>” uzaicinājumam</w:t>
            </w:r>
          </w:p>
          <w:p w:rsidR="00116B75" w:rsidRPr="00116B75" w:rsidRDefault="00116B75" w:rsidP="00116B75">
            <w:pPr>
              <w:spacing w:after="160" w:line="254" w:lineRule="auto"/>
              <w:jc w:val="right"/>
              <w:rPr>
                <w:rFonts w:ascii="Times New Roman" w:eastAsia="Times New Roman" w:hAnsi="Times New Roman" w:cs="Times New Roman"/>
                <w:lang w:eastAsia="lv-LV"/>
              </w:rPr>
            </w:pPr>
            <w:r w:rsidRPr="00116B75">
              <w:rPr>
                <w:rFonts w:ascii="Times New Roman" w:eastAsia="Times New Roman" w:hAnsi="Times New Roman" w:cs="Times New Roman"/>
                <w:lang w:eastAsia="lv-LV"/>
              </w:rPr>
              <w:t>(ID Nr. CK  2021/11/CA)</w:t>
            </w:r>
          </w:p>
          <w:p w:rsidR="00C530A0" w:rsidRPr="00116B75" w:rsidRDefault="00C530A0" w:rsidP="00116B75">
            <w:pPr>
              <w:spacing w:after="120" w:line="240" w:lineRule="auto"/>
              <w:jc w:val="center"/>
              <w:rPr>
                <w:rFonts w:ascii="Times New Roman" w:hAnsi="Times New Roman"/>
                <w:b/>
                <w:sz w:val="24"/>
                <w:szCs w:val="24"/>
              </w:rPr>
            </w:pPr>
            <w:r w:rsidRPr="005D3787">
              <w:rPr>
                <w:rFonts w:ascii="Times New Roman" w:hAnsi="Times New Roman"/>
                <w:b/>
                <w:sz w:val="24"/>
                <w:szCs w:val="24"/>
              </w:rPr>
              <w:t>TEHNISKĀ SPECIFIKĀCIJA un PRETENDENTA TEHNISKAIS PIEDĀVĀJU</w:t>
            </w:r>
            <w:r w:rsidR="007A7FEA">
              <w:rPr>
                <w:rFonts w:ascii="Times New Roman" w:hAnsi="Times New Roman"/>
                <w:b/>
                <w:sz w:val="24"/>
                <w:szCs w:val="24"/>
              </w:rPr>
              <w:t>M</w:t>
            </w:r>
            <w:r w:rsidRPr="005D3787">
              <w:rPr>
                <w:rFonts w:ascii="Times New Roman" w:hAnsi="Times New Roman"/>
                <w:b/>
                <w:sz w:val="24"/>
                <w:szCs w:val="24"/>
              </w:rPr>
              <w:t>S</w:t>
            </w:r>
          </w:p>
          <w:p w:rsidR="00C530A0" w:rsidRDefault="00C530A0" w:rsidP="001846C8">
            <w:pPr>
              <w:ind w:left="720" w:hanging="720"/>
              <w:rPr>
                <w:rFonts w:ascii="Times New Roman" w:hAnsi="Times New Roman"/>
                <w:b/>
                <w:i/>
                <w:sz w:val="24"/>
                <w:szCs w:val="24"/>
                <w:u w:val="single"/>
              </w:rPr>
            </w:pPr>
          </w:p>
          <w:tbl>
            <w:tblPr>
              <w:tblW w:w="13227" w:type="dxa"/>
              <w:tblInd w:w="93" w:type="dxa"/>
              <w:tblLayout w:type="fixed"/>
              <w:tblCellMar>
                <w:left w:w="10" w:type="dxa"/>
                <w:right w:w="10" w:type="dxa"/>
              </w:tblCellMar>
              <w:tblLook w:val="0000" w:firstRow="0" w:lastRow="0" w:firstColumn="0" w:lastColumn="0" w:noHBand="0" w:noVBand="0"/>
            </w:tblPr>
            <w:tblGrid>
              <w:gridCol w:w="1536"/>
              <w:gridCol w:w="6657"/>
              <w:gridCol w:w="5034"/>
            </w:tblGrid>
            <w:tr w:rsidR="00116B75" w:rsidRPr="00FF1ABB"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FF1ABB" w:rsidRDefault="00116B75" w:rsidP="00116B75">
                  <w:pPr>
                    <w:framePr w:hSpace="180" w:wrap="around" w:vAnchor="text" w:hAnchor="text" w:y="1"/>
                    <w:suppressOverlap/>
                    <w:rPr>
                      <w:rFonts w:ascii="Times New Roman" w:hAnsi="Times New Roman" w:cs="Times New Roman"/>
                      <w:b/>
                      <w:bCs/>
                      <w:sz w:val="28"/>
                      <w:szCs w:val="28"/>
                    </w:rPr>
                  </w:pPr>
                  <w:r w:rsidRPr="00FF1ABB">
                    <w:rPr>
                      <w:rFonts w:ascii="Times New Roman" w:hAnsi="Times New Roman" w:cs="Times New Roman"/>
                      <w:b/>
                      <w:bCs/>
                      <w:sz w:val="28"/>
                      <w:szCs w:val="28"/>
                    </w:rPr>
                    <w:t>Pacientu novērošanas monitors anesteziol</w:t>
                  </w:r>
                  <w:r>
                    <w:rPr>
                      <w:rFonts w:ascii="Times New Roman" w:hAnsi="Times New Roman" w:cs="Times New Roman"/>
                      <w:b/>
                      <w:bCs/>
                      <w:sz w:val="28"/>
                      <w:szCs w:val="28"/>
                    </w:rPr>
                    <w:t xml:space="preserve">oģijai ar </w:t>
                  </w:r>
                  <w:proofErr w:type="spellStart"/>
                  <w:r>
                    <w:rPr>
                      <w:rFonts w:ascii="Times New Roman" w:hAnsi="Times New Roman" w:cs="Times New Roman"/>
                      <w:b/>
                      <w:bCs/>
                      <w:sz w:val="28"/>
                      <w:szCs w:val="28"/>
                    </w:rPr>
                    <w:t>multigāzu</w:t>
                  </w:r>
                  <w:proofErr w:type="spellEnd"/>
                  <w:r>
                    <w:rPr>
                      <w:rFonts w:ascii="Times New Roman" w:hAnsi="Times New Roman" w:cs="Times New Roman"/>
                      <w:b/>
                      <w:bCs/>
                      <w:sz w:val="28"/>
                      <w:szCs w:val="28"/>
                    </w:rPr>
                    <w:t xml:space="preserve"> analizatoru</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FF1ABB" w:rsidRDefault="00116B75" w:rsidP="00116B75">
                  <w:pPr>
                    <w:framePr w:hSpace="180" w:wrap="around" w:vAnchor="text" w:hAnchor="text" w:y="1"/>
                    <w:spacing w:after="0"/>
                    <w:ind w:right="-91"/>
                    <w:suppressOverlap/>
                    <w:rPr>
                      <w:rFonts w:ascii="Times New Roman" w:hAnsi="Times New Roman" w:cs="Times New Roman"/>
                      <w:sz w:val="28"/>
                      <w:szCs w:val="28"/>
                    </w:rPr>
                  </w:pPr>
                  <w:r w:rsidRPr="00FF1ABB">
                    <w:rPr>
                      <w:rFonts w:ascii="Times New Roman" w:hAnsi="Times New Roman" w:cs="Times New Roman"/>
                      <w:b/>
                      <w:bCs/>
                      <w:sz w:val="28"/>
                      <w:szCs w:val="28"/>
                    </w:rPr>
                    <w:t>Piedāvājums (detalizēts piedāvājuma apraksts, norādīt preces nosaukumu, ražotāju, nr. katalogā)</w:t>
                  </w: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4275B0" w:rsidRDefault="00116B75" w:rsidP="00116B75">
                  <w:pPr>
                    <w:framePr w:hSpace="180" w:wrap="around" w:vAnchor="text" w:hAnchor="text" w:y="1"/>
                    <w:suppressOverlap/>
                    <w:rPr>
                      <w:rFonts w:ascii="Times New Roman" w:hAnsi="Times New Roman" w:cs="Times New Roman"/>
                      <w:b/>
                      <w:bCs/>
                      <w:szCs w:val="20"/>
                    </w:rPr>
                  </w:pPr>
                  <w:r>
                    <w:rPr>
                      <w:rFonts w:ascii="Times New Roman" w:hAnsi="Times New Roman" w:cs="Times New Roman"/>
                      <w:b/>
                      <w:bCs/>
                      <w:szCs w:val="20"/>
                    </w:rPr>
                    <w:t>Tehniskais raksturojums: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Krāsains, kapacitatīvs </w:t>
                  </w:r>
                  <w:proofErr w:type="spellStart"/>
                  <w:r w:rsidRPr="00194566">
                    <w:rPr>
                      <w:rFonts w:ascii="Times New Roman" w:hAnsi="Times New Roman" w:cs="Times New Roman"/>
                      <w:szCs w:val="20"/>
                    </w:rPr>
                    <w:t>pieskārienjūtīgs</w:t>
                  </w:r>
                  <w:proofErr w:type="spellEnd"/>
                  <w:r w:rsidRPr="00194566">
                    <w:rPr>
                      <w:rFonts w:ascii="Times New Roman" w:hAnsi="Times New Roman" w:cs="Times New Roman"/>
                      <w:szCs w:val="20"/>
                    </w:rPr>
                    <w:t xml:space="preserve"> šķidro kristālu ekrāns, ne mazāks kā 10 collas pa diagonāli.</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Izšķiršanas spēja - ne mazāka par 1280 x</w:t>
                  </w:r>
                  <w:r w:rsidRPr="00194566">
                    <w:rPr>
                      <w:rFonts w:ascii="Times New Roman" w:hAnsi="Times New Roman" w:cs="Times New Roman"/>
                      <w:color w:val="000000"/>
                      <w:szCs w:val="20"/>
                    </w:rPr>
                    <w:t xml:space="preserve"> 800.</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Vienlaicīgs vismaz </w:t>
                  </w:r>
                  <w:r>
                    <w:rPr>
                      <w:rFonts w:ascii="Times New Roman" w:hAnsi="Times New Roman" w:cs="Times New Roman"/>
                      <w:szCs w:val="20"/>
                    </w:rPr>
                    <w:t>8</w:t>
                  </w:r>
                  <w:r w:rsidRPr="00194566">
                    <w:rPr>
                      <w:rFonts w:ascii="Times New Roman" w:hAnsi="Times New Roman" w:cs="Times New Roman"/>
                      <w:szCs w:val="20"/>
                    </w:rPr>
                    <w:t xml:space="preserve"> līkņu atspoguļojums ekrānā – atšķirīgās un pēc izvēles maināmās krāsās.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Monitora konfigurēšana un parametru apskate notiek ar vadības sistēmu – rotējoš</w:t>
                  </w:r>
                  <w:r>
                    <w:rPr>
                      <w:rFonts w:ascii="Times New Roman" w:hAnsi="Times New Roman" w:cs="Times New Roman"/>
                      <w:szCs w:val="20"/>
                    </w:rPr>
                    <w:t>as</w:t>
                  </w:r>
                  <w:r w:rsidRPr="00194566">
                    <w:rPr>
                      <w:rFonts w:ascii="Times New Roman" w:hAnsi="Times New Roman" w:cs="Times New Roman"/>
                      <w:szCs w:val="20"/>
                    </w:rPr>
                    <w:t xml:space="preserve"> vadības pog</w:t>
                  </w:r>
                  <w:r>
                    <w:rPr>
                      <w:rFonts w:ascii="Times New Roman" w:hAnsi="Times New Roman" w:cs="Times New Roman"/>
                      <w:szCs w:val="20"/>
                    </w:rPr>
                    <w:t>as un</w:t>
                  </w:r>
                  <w:r w:rsidRPr="00194566">
                    <w:rPr>
                      <w:rFonts w:ascii="Times New Roman" w:hAnsi="Times New Roman" w:cs="Times New Roman"/>
                      <w:szCs w:val="20"/>
                    </w:rPr>
                    <w:t xml:space="preserve"> skārienjūtīg</w:t>
                  </w:r>
                  <w:r>
                    <w:rPr>
                      <w:rFonts w:ascii="Times New Roman" w:hAnsi="Times New Roman" w:cs="Times New Roman"/>
                      <w:szCs w:val="20"/>
                    </w:rPr>
                    <w:t>a ekrāna.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Ar krāsām kodētas monitoringa kabeļu ligzdas.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r w:rsidRPr="00194566">
                    <w:rPr>
                      <w:rFonts w:ascii="Times New Roman" w:hAnsi="Times New Roman" w:cs="Times New Roman"/>
                      <w:b/>
                      <w:bCs/>
                      <w:szCs w:val="20"/>
                    </w:rPr>
                    <w:t xml:space="preserve">EKG </w:t>
                  </w:r>
                  <w:proofErr w:type="spellStart"/>
                  <w:r w:rsidRPr="00194566">
                    <w:rPr>
                      <w:rFonts w:ascii="Times New Roman" w:hAnsi="Times New Roman" w:cs="Times New Roman"/>
                      <w:b/>
                      <w:bCs/>
                      <w:szCs w:val="20"/>
                    </w:rPr>
                    <w:t>monitorēšanas</w:t>
                  </w:r>
                  <w:proofErr w:type="spellEnd"/>
                  <w:r w:rsidRPr="00194566">
                    <w:rPr>
                      <w:rFonts w:ascii="Times New Roman" w:hAnsi="Times New Roman" w:cs="Times New Roman"/>
                      <w:b/>
                      <w:bCs/>
                      <w:szCs w:val="20"/>
                    </w:rPr>
                    <w:t xml:space="preserve"> kanāls: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3.1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3</w:t>
                  </w:r>
                  <w:r>
                    <w:rPr>
                      <w:rFonts w:ascii="Times New Roman" w:hAnsi="Times New Roman" w:cs="Times New Roman"/>
                      <w:szCs w:val="20"/>
                    </w:rPr>
                    <w:t>/</w:t>
                  </w:r>
                  <w:r w:rsidRPr="00194566">
                    <w:rPr>
                      <w:rFonts w:ascii="Times New Roman" w:hAnsi="Times New Roman" w:cs="Times New Roman"/>
                      <w:szCs w:val="20"/>
                    </w:rPr>
                    <w:t xml:space="preserve">5 novadījumu EKG kanāls ar iespēju novērot I, II, III, </w:t>
                  </w:r>
                  <w:proofErr w:type="spellStart"/>
                  <w:r w:rsidRPr="00194566">
                    <w:rPr>
                      <w:rFonts w:ascii="Times New Roman" w:hAnsi="Times New Roman" w:cs="Times New Roman"/>
                      <w:szCs w:val="20"/>
                    </w:rPr>
                    <w:t>aVR</w:t>
                  </w:r>
                  <w:proofErr w:type="spellEnd"/>
                  <w:r w:rsidRPr="00194566">
                    <w:rPr>
                      <w:rFonts w:ascii="Times New Roman" w:hAnsi="Times New Roman" w:cs="Times New Roman"/>
                      <w:szCs w:val="20"/>
                    </w:rPr>
                    <w:t xml:space="preserve">, </w:t>
                  </w:r>
                  <w:proofErr w:type="spellStart"/>
                  <w:r w:rsidRPr="00194566">
                    <w:rPr>
                      <w:rFonts w:ascii="Times New Roman" w:hAnsi="Times New Roman" w:cs="Times New Roman"/>
                      <w:szCs w:val="20"/>
                    </w:rPr>
                    <w:t>aVL</w:t>
                  </w:r>
                  <w:proofErr w:type="spellEnd"/>
                  <w:r w:rsidRPr="00194566">
                    <w:rPr>
                      <w:rFonts w:ascii="Times New Roman" w:hAnsi="Times New Roman" w:cs="Times New Roman"/>
                      <w:szCs w:val="20"/>
                    </w:rPr>
                    <w:t xml:space="preserve">, </w:t>
                  </w:r>
                  <w:proofErr w:type="spellStart"/>
                  <w:r w:rsidRPr="00194566">
                    <w:rPr>
                      <w:rFonts w:ascii="Times New Roman" w:hAnsi="Times New Roman" w:cs="Times New Roman"/>
                      <w:szCs w:val="20"/>
                    </w:rPr>
                    <w:t>aVF</w:t>
                  </w:r>
                  <w:proofErr w:type="spellEnd"/>
                  <w:r w:rsidRPr="00194566">
                    <w:rPr>
                      <w:rFonts w:ascii="Times New Roman" w:hAnsi="Times New Roman" w:cs="Times New Roman"/>
                      <w:szCs w:val="20"/>
                    </w:rPr>
                    <w:t xml:space="preserve"> un V novadījumus.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ST segmenta analīze ar reālā laika grafisku attēlojumu </w:t>
                  </w:r>
                  <w:r>
                    <w:rPr>
                      <w:rFonts w:ascii="Times New Roman" w:hAnsi="Times New Roman" w:cs="Times New Roman"/>
                      <w:szCs w:val="20"/>
                    </w:rPr>
                    <w:t>.</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Ar </w:t>
                  </w:r>
                  <w:proofErr w:type="spellStart"/>
                  <w:r w:rsidRPr="00194566">
                    <w:rPr>
                      <w:rFonts w:ascii="Times New Roman" w:hAnsi="Times New Roman" w:cs="Times New Roman"/>
                      <w:szCs w:val="20"/>
                    </w:rPr>
                    <w:t>kardiostimulatora</w:t>
                  </w:r>
                  <w:proofErr w:type="spellEnd"/>
                  <w:r w:rsidRPr="00194566">
                    <w:rPr>
                      <w:rFonts w:ascii="Times New Roman" w:hAnsi="Times New Roman" w:cs="Times New Roman"/>
                      <w:szCs w:val="20"/>
                    </w:rPr>
                    <w:t xml:space="preserve"> signāla atpazīšanu.</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Sirds darbības frekvence 30-</w:t>
                  </w:r>
                  <w:r>
                    <w:rPr>
                      <w:rFonts w:ascii="Times New Roman" w:hAnsi="Times New Roman" w:cs="Times New Roman"/>
                      <w:szCs w:val="20"/>
                    </w:rPr>
                    <w:t>250</w:t>
                  </w:r>
                  <w:r w:rsidRPr="00194566">
                    <w:rPr>
                      <w:rFonts w:ascii="Times New Roman" w:hAnsi="Times New Roman" w:cs="Times New Roman"/>
                      <w:szCs w:val="20"/>
                    </w:rPr>
                    <w:t xml:space="preserve"> (reizes/min.).</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Ar informāciju attēlotu ciparu un līkņu veidā.</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r w:rsidRPr="00194566">
                    <w:rPr>
                      <w:rFonts w:ascii="Times New Roman" w:hAnsi="Times New Roman" w:cs="Times New Roman"/>
                      <w:b/>
                      <w:bCs/>
                      <w:szCs w:val="20"/>
                    </w:rPr>
                    <w:t xml:space="preserve">SpO2 </w:t>
                  </w:r>
                  <w:proofErr w:type="spellStart"/>
                  <w:r w:rsidRPr="00194566">
                    <w:rPr>
                      <w:rFonts w:ascii="Times New Roman" w:hAnsi="Times New Roman" w:cs="Times New Roman"/>
                      <w:b/>
                      <w:bCs/>
                      <w:szCs w:val="20"/>
                    </w:rPr>
                    <w:t>monitorēšanas</w:t>
                  </w:r>
                  <w:proofErr w:type="spellEnd"/>
                  <w:r w:rsidRPr="00194566">
                    <w:rPr>
                      <w:rFonts w:ascii="Times New Roman" w:hAnsi="Times New Roman" w:cs="Times New Roman"/>
                      <w:b/>
                      <w:bCs/>
                      <w:szCs w:val="20"/>
                    </w:rPr>
                    <w:t xml:space="preserve"> kanāls: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4.1.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SpO2 mērīšanas diapazons robežās vismaz 30-100%.</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Mērījumu kļūda – robežās  70-100%   ne lielāka kā +/- 2%.</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Pulsa frekvence robežās vismaz 30 līdz 250 (reizes/min.).</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Informācija attēlotu ciparu un līkņu veidā.</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proofErr w:type="spellStart"/>
                  <w:r w:rsidRPr="00194566">
                    <w:rPr>
                      <w:rFonts w:ascii="Times New Roman" w:hAnsi="Times New Roman" w:cs="Times New Roman"/>
                      <w:b/>
                      <w:bCs/>
                      <w:szCs w:val="20"/>
                    </w:rPr>
                    <w:t>Neinvazīvā</w:t>
                  </w:r>
                  <w:proofErr w:type="spellEnd"/>
                  <w:r w:rsidRPr="00194566">
                    <w:rPr>
                      <w:rFonts w:ascii="Times New Roman" w:hAnsi="Times New Roman" w:cs="Times New Roman"/>
                      <w:b/>
                      <w:bCs/>
                      <w:szCs w:val="20"/>
                    </w:rPr>
                    <w:t xml:space="preserve"> spiediena </w:t>
                  </w:r>
                  <w:proofErr w:type="spellStart"/>
                  <w:r w:rsidRPr="00194566">
                    <w:rPr>
                      <w:rFonts w:ascii="Times New Roman" w:hAnsi="Times New Roman" w:cs="Times New Roman"/>
                      <w:b/>
                      <w:bCs/>
                      <w:szCs w:val="20"/>
                    </w:rPr>
                    <w:t>monitorēšanas</w:t>
                  </w:r>
                  <w:proofErr w:type="spellEnd"/>
                  <w:r w:rsidRPr="00194566">
                    <w:rPr>
                      <w:rFonts w:ascii="Times New Roman" w:hAnsi="Times New Roman" w:cs="Times New Roman"/>
                      <w:b/>
                      <w:bCs/>
                      <w:szCs w:val="20"/>
                    </w:rPr>
                    <w:t xml:space="preserve"> kanāls: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5.1.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Mērīšana – pēc noteiktas vajadzības un automātiski brīvi izvēlētu laika periodu no 1 – 120 min.</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Mērīšanas diapazons robežās vismaz 30 līdz 290 mm </w:t>
                  </w:r>
                  <w:proofErr w:type="spellStart"/>
                  <w:r w:rsidRPr="00194566">
                    <w:rPr>
                      <w:rFonts w:ascii="Times New Roman" w:hAnsi="Times New Roman" w:cs="Times New Roman"/>
                      <w:szCs w:val="20"/>
                    </w:rPr>
                    <w:t>Hg</w:t>
                  </w:r>
                  <w:proofErr w:type="spellEnd"/>
                  <w:r w:rsidRPr="00194566">
                    <w:rPr>
                      <w:rFonts w:ascii="Times New Roman" w:hAnsi="Times New Roman" w:cs="Times New Roman"/>
                      <w:szCs w:val="20"/>
                    </w:rPr>
                    <w:t>.</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Ar 1-soļa pieeju tūlītējai ārpuskārtas mērījuma aktivizēšanai.</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r w:rsidRPr="00194566">
                    <w:rPr>
                      <w:rFonts w:ascii="Times New Roman" w:hAnsi="Times New Roman" w:cs="Times New Roman"/>
                      <w:b/>
                      <w:bCs/>
                      <w:szCs w:val="20"/>
                    </w:rPr>
                    <w:t>Temperatūras mērīšanas funkcija: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6.1.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Iespēja vienlaicīgi pieslēgt ne mazāk kā 2 temperatūras zondes.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Rezolūcija vismaz 0.1ºC.</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Mērījumu diapazons robežās vismaz 30 </w:t>
                  </w:r>
                  <w:proofErr w:type="spellStart"/>
                  <w:r w:rsidRPr="00194566">
                    <w:rPr>
                      <w:rFonts w:ascii="Times New Roman" w:hAnsi="Times New Roman" w:cs="Times New Roman"/>
                      <w:szCs w:val="20"/>
                    </w:rPr>
                    <w:t>ºC</w:t>
                  </w:r>
                  <w:proofErr w:type="spellEnd"/>
                  <w:r w:rsidRPr="00194566">
                    <w:rPr>
                      <w:rFonts w:ascii="Times New Roman" w:hAnsi="Times New Roman" w:cs="Times New Roman"/>
                      <w:szCs w:val="20"/>
                    </w:rPr>
                    <w:t xml:space="preserve"> līdz 45ºC.</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Precizitāte robežās ± 0.1 </w:t>
                  </w:r>
                  <w:proofErr w:type="spellStart"/>
                  <w:r w:rsidRPr="00194566">
                    <w:rPr>
                      <w:rFonts w:ascii="Times New Roman" w:hAnsi="Times New Roman" w:cs="Times New Roman"/>
                      <w:szCs w:val="20"/>
                    </w:rPr>
                    <w:t>ºC</w:t>
                  </w:r>
                  <w:proofErr w:type="spellEnd"/>
                  <w:r w:rsidRPr="00194566">
                    <w:rPr>
                      <w:rFonts w:ascii="Times New Roman" w:hAnsi="Times New Roman" w:cs="Times New Roman"/>
                      <w:szCs w:val="20"/>
                    </w:rPr>
                    <w:t>.</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r w:rsidRPr="00194566">
                    <w:rPr>
                      <w:rFonts w:ascii="Times New Roman" w:hAnsi="Times New Roman" w:cs="Times New Roman"/>
                      <w:b/>
                      <w:bCs/>
                      <w:szCs w:val="20"/>
                    </w:rPr>
                    <w:t>Ergonomiskās prasības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7.1.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Iekārtas darbības laiks no iebūvēta akumulatora ne mazāk par 3h.</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Vismaz 3 līmeņu audiovizuālās trauksmes.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Ar vienas pogas palīdzību iespējams apturēt trauksmi uz vismaz 2 minūtēm.</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Visu parametru </w:t>
                  </w:r>
                  <w:proofErr w:type="spellStart"/>
                  <w:r w:rsidRPr="00194566">
                    <w:rPr>
                      <w:rFonts w:ascii="Times New Roman" w:hAnsi="Times New Roman" w:cs="Times New Roman"/>
                      <w:szCs w:val="20"/>
                    </w:rPr>
                    <w:t>trendi</w:t>
                  </w:r>
                  <w:proofErr w:type="spellEnd"/>
                  <w:r w:rsidRPr="00194566">
                    <w:rPr>
                      <w:rFonts w:ascii="Times New Roman" w:hAnsi="Times New Roman" w:cs="Times New Roman"/>
                      <w:szCs w:val="20"/>
                    </w:rPr>
                    <w:t xml:space="preserve"> vismaz 72h.</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Iespēja saglabāt vismaz 200 ekrāna uzņēmumus.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szCs w:val="20"/>
                    </w:rPr>
                  </w:pPr>
                  <w:proofErr w:type="spellStart"/>
                  <w:r w:rsidRPr="00194566">
                    <w:rPr>
                      <w:rFonts w:ascii="Times New Roman" w:hAnsi="Times New Roman" w:cs="Times New Roman"/>
                      <w:b/>
                      <w:szCs w:val="20"/>
                    </w:rPr>
                    <w:t>Anestezioloģisko</w:t>
                  </w:r>
                  <w:proofErr w:type="spellEnd"/>
                  <w:r w:rsidRPr="00194566">
                    <w:rPr>
                      <w:rFonts w:ascii="Times New Roman" w:hAnsi="Times New Roman" w:cs="Times New Roman"/>
                      <w:b/>
                      <w:szCs w:val="20"/>
                    </w:rPr>
                    <w:t xml:space="preserve"> gāzu </w:t>
                  </w:r>
                  <w:proofErr w:type="spellStart"/>
                  <w:r w:rsidRPr="00194566">
                    <w:rPr>
                      <w:rFonts w:ascii="Times New Roman" w:hAnsi="Times New Roman" w:cs="Times New Roman"/>
                      <w:b/>
                      <w:szCs w:val="20"/>
                    </w:rPr>
                    <w:t>Sevoflurana</w:t>
                  </w:r>
                  <w:proofErr w:type="spellEnd"/>
                  <w:r w:rsidRPr="00194566">
                    <w:rPr>
                      <w:rFonts w:ascii="Times New Roman" w:hAnsi="Times New Roman" w:cs="Times New Roman"/>
                      <w:b/>
                      <w:szCs w:val="20"/>
                    </w:rPr>
                    <w:t xml:space="preserve">, </w:t>
                  </w:r>
                  <w:proofErr w:type="spellStart"/>
                  <w:r w:rsidRPr="00194566">
                    <w:rPr>
                      <w:rFonts w:ascii="Times New Roman" w:hAnsi="Times New Roman" w:cs="Times New Roman"/>
                      <w:b/>
                      <w:szCs w:val="20"/>
                    </w:rPr>
                    <w:t>Desflurana</w:t>
                  </w:r>
                  <w:proofErr w:type="spellEnd"/>
                  <w:r w:rsidRPr="00194566">
                    <w:rPr>
                      <w:rFonts w:ascii="Times New Roman" w:hAnsi="Times New Roman" w:cs="Times New Roman"/>
                      <w:b/>
                      <w:szCs w:val="20"/>
                    </w:rPr>
                    <w:t xml:space="preserve">, </w:t>
                  </w:r>
                  <w:proofErr w:type="spellStart"/>
                  <w:r w:rsidRPr="00194566">
                    <w:rPr>
                      <w:rFonts w:ascii="Times New Roman" w:hAnsi="Times New Roman" w:cs="Times New Roman"/>
                      <w:b/>
                      <w:szCs w:val="20"/>
                    </w:rPr>
                    <w:t>Isoflurana</w:t>
                  </w:r>
                  <w:proofErr w:type="spellEnd"/>
                  <w:r w:rsidRPr="00194566">
                    <w:rPr>
                      <w:rFonts w:ascii="Times New Roman" w:hAnsi="Times New Roman" w:cs="Times New Roman"/>
                      <w:b/>
                      <w:szCs w:val="20"/>
                    </w:rPr>
                    <w:t xml:space="preserve">  modulis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8.1.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Paramagnētiska tipa O2 sensors;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Automātiska gaistošās anestēzijas vielas identifikācija;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Vidējās alveolārās koncentrācijas (MAC) attēlošana;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 xml:space="preserve">CO2 monitorings nodrošināts ar </w:t>
                  </w:r>
                  <w:proofErr w:type="spellStart"/>
                  <w:r w:rsidRPr="00194566">
                    <w:rPr>
                      <w:rFonts w:ascii="Times New Roman" w:eastAsia="Calibri" w:hAnsi="Times New Roman" w:cs="Times New Roman"/>
                      <w:szCs w:val="20"/>
                    </w:rPr>
                    <w:t>kapnometrijas</w:t>
                  </w:r>
                  <w:proofErr w:type="spellEnd"/>
                  <w:r w:rsidRPr="00194566">
                    <w:rPr>
                      <w:rFonts w:ascii="Times New Roman" w:eastAsia="Calibri" w:hAnsi="Times New Roman" w:cs="Times New Roman"/>
                      <w:szCs w:val="20"/>
                    </w:rPr>
                    <w:t xml:space="preserve"> līknes atspoguļojumu, iespējamo mērījumu diapazons robežās vismaz 0 – 110 </w:t>
                  </w:r>
                  <w:proofErr w:type="spellStart"/>
                  <w:r w:rsidRPr="00194566">
                    <w:rPr>
                      <w:rFonts w:ascii="Times New Roman" w:eastAsia="Calibri" w:hAnsi="Times New Roman" w:cs="Times New Roman"/>
                      <w:szCs w:val="20"/>
                    </w:rPr>
                    <w:t>mmHg</w:t>
                  </w:r>
                  <w:proofErr w:type="spellEnd"/>
                  <w:r w:rsidRPr="00194566">
                    <w:rPr>
                      <w:rFonts w:ascii="Times New Roman" w:eastAsia="Calibri" w:hAnsi="Times New Roman" w:cs="Times New Roman"/>
                      <w:szCs w:val="20"/>
                    </w:rPr>
                    <w:t xml:space="preserve">  ar kļūdu ne lielāku kā 0.2 </w:t>
                  </w:r>
                  <w:proofErr w:type="spellStart"/>
                  <w:r w:rsidRPr="00194566">
                    <w:rPr>
                      <w:rFonts w:ascii="Times New Roman" w:eastAsia="Calibri" w:hAnsi="Times New Roman" w:cs="Times New Roman"/>
                      <w:szCs w:val="20"/>
                    </w:rPr>
                    <w:t>tilp</w:t>
                  </w:r>
                  <w:proofErr w:type="spellEnd"/>
                  <w:r w:rsidRPr="00194566">
                    <w:rPr>
                      <w:rFonts w:ascii="Times New Roman" w:eastAsia="Calibri" w:hAnsi="Times New Roman" w:cs="Times New Roman"/>
                      <w:szCs w:val="20"/>
                    </w:rPr>
                    <w:t>% + 2% no nolasījuma;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O2 monitoringa līknes mērījumu diapazons 0 – 100 %, kļūda ne lielāka kā 1 tilp%+2% no nolasījuma;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N2O monitoringa mērījumu diapazons 0 – 100 %, kļūda ne lielāka kā 2 tilp%+2% no nolasījuma;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Gaistošo anestēzijas vielu monitoringa mērījumu kļūda ne lielāka kā 0.2 tilp%+5% no nolasījuma;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6B75" w:rsidRPr="00194566" w:rsidRDefault="00116B75" w:rsidP="00116B75">
                  <w:pPr>
                    <w:framePr w:hSpace="180" w:wrap="around" w:vAnchor="text" w:hAnchor="text" w:y="1"/>
                    <w:spacing w:after="0"/>
                    <w:suppressOverlap/>
                    <w:rPr>
                      <w:rFonts w:ascii="Times New Roman" w:eastAsia="Calibri" w:hAnsi="Times New Roman" w:cs="Times New Roman"/>
                      <w:szCs w:val="20"/>
                    </w:rPr>
                  </w:pPr>
                  <w:r w:rsidRPr="00194566">
                    <w:rPr>
                      <w:rFonts w:ascii="Times New Roman" w:eastAsia="Calibri" w:hAnsi="Times New Roman" w:cs="Times New Roman"/>
                      <w:szCs w:val="20"/>
                    </w:rPr>
                    <w:t>Parauga ņemšanas ātrums ne lielāks par 130ml/min ( ar precizitāti ne sliktāku kā +/- 25ml)</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r w:rsidRPr="00194566">
                    <w:rPr>
                      <w:rFonts w:ascii="Times New Roman" w:hAnsi="Times New Roman" w:cs="Times New Roman"/>
                      <w:b/>
                      <w:bCs/>
                      <w:szCs w:val="20"/>
                    </w:rPr>
                    <w:t>Komplektācija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9.1.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roofErr w:type="spellStart"/>
                  <w:r w:rsidRPr="00194566">
                    <w:rPr>
                      <w:rFonts w:ascii="Times New Roman" w:hAnsi="Times New Roman" w:cs="Times New Roman"/>
                      <w:szCs w:val="20"/>
                    </w:rPr>
                    <w:t>Daudzreizlietojams</w:t>
                  </w:r>
                  <w:proofErr w:type="spellEnd"/>
                  <w:r w:rsidRPr="00194566">
                    <w:rPr>
                      <w:rFonts w:ascii="Times New Roman" w:hAnsi="Times New Roman" w:cs="Times New Roman"/>
                      <w:szCs w:val="20"/>
                    </w:rPr>
                    <w:t xml:space="preserve"> 3 novadījumu EKG kabelis ar </w:t>
                  </w:r>
                  <w:proofErr w:type="spellStart"/>
                  <w:r w:rsidRPr="00194566">
                    <w:rPr>
                      <w:rFonts w:ascii="Times New Roman" w:hAnsi="Times New Roman" w:cs="Times New Roman"/>
                      <w:szCs w:val="20"/>
                    </w:rPr>
                    <w:t>klipšiem</w:t>
                  </w:r>
                  <w:proofErr w:type="spellEnd"/>
                  <w:r w:rsidRPr="00194566">
                    <w:rPr>
                      <w:rFonts w:ascii="Times New Roman" w:hAnsi="Times New Roman" w:cs="Times New Roman"/>
                      <w:szCs w:val="20"/>
                    </w:rPr>
                    <w:t xml:space="preserve"> – 1</w:t>
                  </w:r>
                  <w:r w:rsidRPr="00194566">
                    <w:rPr>
                      <w:rFonts w:ascii="Times New Roman" w:hAnsi="Times New Roman" w:cs="Times New Roman"/>
                      <w:b/>
                      <w:bCs/>
                      <w:szCs w:val="20"/>
                    </w:rPr>
                    <w:t xml:space="preserve"> gab. </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roofErr w:type="spellStart"/>
                  <w:r w:rsidRPr="00194566">
                    <w:rPr>
                      <w:rFonts w:ascii="Times New Roman" w:hAnsi="Times New Roman" w:cs="Times New Roman"/>
                      <w:szCs w:val="20"/>
                    </w:rPr>
                    <w:t>Daudzreizlietojams</w:t>
                  </w:r>
                  <w:proofErr w:type="spellEnd"/>
                  <w:r w:rsidRPr="00194566">
                    <w:rPr>
                      <w:rFonts w:ascii="Times New Roman" w:hAnsi="Times New Roman" w:cs="Times New Roman"/>
                      <w:szCs w:val="20"/>
                    </w:rPr>
                    <w:t xml:space="preserve"> pirksta SpO2 sensors, pieaugušo –</w:t>
                  </w:r>
                  <w:r w:rsidRPr="00194566">
                    <w:rPr>
                      <w:rFonts w:ascii="Times New Roman" w:hAnsi="Times New Roman" w:cs="Times New Roman"/>
                      <w:b/>
                      <w:bCs/>
                      <w:szCs w:val="20"/>
                    </w:rPr>
                    <w:t xml:space="preserve"> 1 gab. </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Komplektā maza, vidēja un liela izmēra </w:t>
                  </w:r>
                  <w:proofErr w:type="spellStart"/>
                  <w:r w:rsidRPr="00194566">
                    <w:rPr>
                      <w:rFonts w:ascii="Times New Roman" w:hAnsi="Times New Roman" w:cs="Times New Roman"/>
                      <w:szCs w:val="20"/>
                    </w:rPr>
                    <w:t>neinvazīvā</w:t>
                  </w:r>
                  <w:proofErr w:type="spellEnd"/>
                  <w:r w:rsidRPr="00194566">
                    <w:rPr>
                      <w:rFonts w:ascii="Times New Roman" w:hAnsi="Times New Roman" w:cs="Times New Roman"/>
                      <w:szCs w:val="20"/>
                    </w:rPr>
                    <w:t xml:space="preserve"> spiediena manšete </w:t>
                  </w:r>
                  <w:r w:rsidRPr="00194566">
                    <w:rPr>
                      <w:rFonts w:ascii="Times New Roman" w:hAnsi="Times New Roman" w:cs="Times New Roman"/>
                      <w:b/>
                      <w:bCs/>
                      <w:szCs w:val="20"/>
                    </w:rPr>
                    <w:t xml:space="preserve">– 1 gab. no katra izmēra </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proofErr w:type="spellStart"/>
                  <w:r w:rsidRPr="00194566">
                    <w:rPr>
                      <w:rFonts w:ascii="Times New Roman" w:hAnsi="Times New Roman" w:cs="Times New Roman"/>
                      <w:szCs w:val="20"/>
                    </w:rPr>
                    <w:t>Kommplektā</w:t>
                  </w:r>
                  <w:proofErr w:type="spellEnd"/>
                  <w:r w:rsidRPr="00194566">
                    <w:rPr>
                      <w:rFonts w:ascii="Times New Roman" w:hAnsi="Times New Roman" w:cs="Times New Roman"/>
                      <w:szCs w:val="20"/>
                    </w:rPr>
                    <w:t xml:space="preserve"> </w:t>
                  </w:r>
                  <w:proofErr w:type="spellStart"/>
                  <w:r w:rsidRPr="00194566">
                    <w:rPr>
                      <w:rFonts w:ascii="Times New Roman" w:hAnsi="Times New Roman" w:cs="Times New Roman"/>
                      <w:szCs w:val="20"/>
                    </w:rPr>
                    <w:t>neinvazīvā</w:t>
                  </w:r>
                  <w:proofErr w:type="spellEnd"/>
                  <w:r w:rsidRPr="00194566">
                    <w:rPr>
                      <w:rFonts w:ascii="Times New Roman" w:hAnsi="Times New Roman" w:cs="Times New Roman"/>
                      <w:szCs w:val="20"/>
                    </w:rPr>
                    <w:t xml:space="preserve"> spiediena maģistrālais kabelis – </w:t>
                  </w:r>
                  <w:r w:rsidRPr="00194566">
                    <w:rPr>
                      <w:rFonts w:ascii="Times New Roman" w:hAnsi="Times New Roman" w:cs="Times New Roman"/>
                      <w:b/>
                      <w:bCs/>
                      <w:szCs w:val="20"/>
                    </w:rPr>
                    <w:t>1 gab.</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Anestēzijas gāzu (</w:t>
                  </w:r>
                  <w:proofErr w:type="spellStart"/>
                  <w:r w:rsidRPr="00194566">
                    <w:rPr>
                      <w:rFonts w:ascii="Times New Roman" w:hAnsi="Times New Roman" w:cs="Times New Roman"/>
                      <w:szCs w:val="20"/>
                    </w:rPr>
                    <w:t>Sevoflurana</w:t>
                  </w:r>
                  <w:proofErr w:type="spellEnd"/>
                  <w:r w:rsidRPr="00194566">
                    <w:rPr>
                      <w:rFonts w:ascii="Times New Roman" w:hAnsi="Times New Roman" w:cs="Times New Roman"/>
                      <w:szCs w:val="20"/>
                    </w:rPr>
                    <w:t xml:space="preserve">, </w:t>
                  </w:r>
                  <w:proofErr w:type="spellStart"/>
                  <w:r w:rsidRPr="00194566">
                    <w:rPr>
                      <w:rFonts w:ascii="Times New Roman" w:hAnsi="Times New Roman" w:cs="Times New Roman"/>
                      <w:szCs w:val="20"/>
                    </w:rPr>
                    <w:t>Desflurana</w:t>
                  </w:r>
                  <w:proofErr w:type="spellEnd"/>
                  <w:r w:rsidRPr="00194566">
                    <w:rPr>
                      <w:rFonts w:ascii="Times New Roman" w:hAnsi="Times New Roman" w:cs="Times New Roman"/>
                      <w:szCs w:val="20"/>
                    </w:rPr>
                    <w:t xml:space="preserve">, </w:t>
                  </w:r>
                  <w:proofErr w:type="spellStart"/>
                  <w:r w:rsidRPr="00194566">
                    <w:rPr>
                      <w:rFonts w:ascii="Times New Roman" w:hAnsi="Times New Roman" w:cs="Times New Roman"/>
                      <w:szCs w:val="20"/>
                    </w:rPr>
                    <w:t>Isoflurana</w:t>
                  </w:r>
                  <w:proofErr w:type="spellEnd"/>
                  <w:r w:rsidRPr="00194566">
                    <w:rPr>
                      <w:rFonts w:ascii="Times New Roman" w:hAnsi="Times New Roman" w:cs="Times New Roman"/>
                      <w:szCs w:val="20"/>
                    </w:rPr>
                    <w:t xml:space="preserve">), O2, CO2 un N2O analīzes modulis – </w:t>
                  </w:r>
                  <w:r w:rsidRPr="00194566">
                    <w:rPr>
                      <w:rFonts w:ascii="Times New Roman" w:hAnsi="Times New Roman" w:cs="Times New Roman"/>
                      <w:b/>
                      <w:bCs/>
                      <w:szCs w:val="20"/>
                    </w:rPr>
                    <w:t>1 gab.</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Anestēzijas gāzu moduļa sākuma komplekts ar 10 gab. parauga ņemšanas līnijām</w:t>
                  </w:r>
                  <w:r>
                    <w:rPr>
                      <w:rFonts w:ascii="Times New Roman" w:hAnsi="Times New Roman" w:cs="Times New Roman"/>
                      <w:szCs w:val="20"/>
                    </w:rPr>
                    <w:t xml:space="preserve"> – </w:t>
                  </w:r>
                  <w:r w:rsidRPr="00163722">
                    <w:rPr>
                      <w:rFonts w:ascii="Times New Roman" w:hAnsi="Times New Roman" w:cs="Times New Roman"/>
                      <w:b/>
                      <w:szCs w:val="20"/>
                    </w:rPr>
                    <w:t xml:space="preserve">1 </w:t>
                  </w:r>
                  <w:proofErr w:type="spellStart"/>
                  <w:r w:rsidRPr="00163722">
                    <w:rPr>
                      <w:rFonts w:ascii="Times New Roman" w:hAnsi="Times New Roman" w:cs="Times New Roman"/>
                      <w:b/>
                      <w:szCs w:val="20"/>
                    </w:rPr>
                    <w:t>kompl</w:t>
                  </w:r>
                  <w:proofErr w:type="spellEnd"/>
                  <w:r w:rsidRPr="00163722">
                    <w:rPr>
                      <w:rFonts w:ascii="Times New Roman" w:hAnsi="Times New Roman" w:cs="Times New Roman"/>
                      <w:b/>
                      <w:szCs w:val="20"/>
                    </w:rPr>
                    <w:t>.</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0"/>
                      <w:numId w:val="8"/>
                    </w:numPr>
                    <w:suppressAutoHyphens/>
                    <w:spacing w:after="120" w:line="240" w:lineRule="auto"/>
                    <w:suppressOverlap/>
                    <w:jc w:val="both"/>
                    <w:rPr>
                      <w:rFonts w:ascii="Times New Roman" w:hAnsi="Times New Roman"/>
                      <w:b/>
                      <w:bCs/>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b/>
                      <w:bCs/>
                      <w:szCs w:val="20"/>
                    </w:rPr>
                  </w:pPr>
                  <w:r w:rsidRPr="00194566">
                    <w:rPr>
                      <w:rFonts w:ascii="Times New Roman" w:hAnsi="Times New Roman" w:cs="Times New Roman"/>
                      <w:b/>
                      <w:bCs/>
                      <w:szCs w:val="20"/>
                    </w:rPr>
                    <w:t>Vispārējās un garantijas prasības</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Pr>
                      <w:rFonts w:ascii="Times New Roman" w:hAnsi="Times New Roman" w:cs="Times New Roman"/>
                      <w:szCs w:val="20"/>
                    </w:rPr>
                    <w:t xml:space="preserve">       10.1. </w:t>
                  </w: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Garantija vismaz 24 mēneši  no pieņemšanas - nodošanas akta parakstīšanas brīža.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Iekārtu marķējums ar ražotāja firmas zīmi,  CE marķējumu, instrukcijām latviešu valodā.</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4275B0"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Iekārtas cenā iekļauti visi piegādes izdevumi un personāla apmācība.</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63722"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Garantijas laikā nodrošināt apkopes un maināmās rezerves daļas bez papildus samaksas saskaņā ar ražotāja noteiktām rekomendācijām. Ārkārtas izsaukumu gadījumā jānodrošina ar servisa inženiera ierašanos uz izsaukumu ne vēlāk kā 48 stundu laikā. </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63722"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Pievienot ražotāja apkopes protokolu.</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63722"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 xml:space="preserve">Piegādātājam jābūt sertificētam piedāvātās iekārtas servisa nodrošinātājam Latvijas teritorijā. </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63722"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Piegādātāja rīcībā jābūt vismaz vienam ražotāja sertificētam servisa inženierim.</w:t>
                  </w:r>
                </w:p>
              </w:tc>
              <w:tc>
                <w:tcPr>
                  <w:tcW w:w="50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r w:rsidR="00116B75" w:rsidRPr="00194566" w:rsidTr="00116B75">
              <w:trPr>
                <w:trHeight w:val="80"/>
              </w:trPr>
              <w:tc>
                <w:tcPr>
                  <w:tcW w:w="1536"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116B75" w:rsidRPr="00163722" w:rsidRDefault="00116B75" w:rsidP="00116B75">
                  <w:pPr>
                    <w:pStyle w:val="Sarakstarindkopa"/>
                    <w:framePr w:hSpace="180" w:wrap="around" w:vAnchor="text" w:hAnchor="text" w:y="1"/>
                    <w:numPr>
                      <w:ilvl w:val="1"/>
                      <w:numId w:val="8"/>
                    </w:numPr>
                    <w:suppressAutoHyphens/>
                    <w:spacing w:after="120" w:line="240" w:lineRule="auto"/>
                    <w:suppressOverlap/>
                    <w:jc w:val="both"/>
                    <w:rPr>
                      <w:rFonts w:ascii="Times New Roman" w:hAnsi="Times New Roman"/>
                      <w:szCs w:val="20"/>
                    </w:rPr>
                  </w:pPr>
                </w:p>
              </w:tc>
              <w:tc>
                <w:tcPr>
                  <w:tcW w:w="6657" w:type="dxa"/>
                  <w:tcBorders>
                    <w:top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16B75" w:rsidRPr="00194566" w:rsidRDefault="00116B75" w:rsidP="00116B75">
                  <w:pPr>
                    <w:framePr w:hSpace="180" w:wrap="around" w:vAnchor="text" w:hAnchor="text" w:y="1"/>
                    <w:suppressOverlap/>
                    <w:rPr>
                      <w:rFonts w:ascii="Times New Roman" w:hAnsi="Times New Roman" w:cs="Times New Roman"/>
                      <w:szCs w:val="20"/>
                    </w:rPr>
                  </w:pPr>
                  <w:r w:rsidRPr="00194566">
                    <w:rPr>
                      <w:rFonts w:ascii="Times New Roman" w:hAnsi="Times New Roman" w:cs="Times New Roman"/>
                      <w:szCs w:val="20"/>
                    </w:rPr>
                    <w:t>Piedāvātajiem komplektācijas piederumiem jābūt monitora ražotāja oriģinālajiem.</w:t>
                  </w:r>
                </w:p>
              </w:tc>
              <w:tc>
                <w:tcPr>
                  <w:tcW w:w="5034"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116B75" w:rsidRPr="00194566" w:rsidRDefault="00116B75" w:rsidP="00116B75">
                  <w:pPr>
                    <w:framePr w:hSpace="180" w:wrap="around" w:vAnchor="text" w:hAnchor="text" w:y="1"/>
                    <w:spacing w:after="0"/>
                    <w:ind w:right="-91"/>
                    <w:suppressOverlap/>
                    <w:rPr>
                      <w:rFonts w:ascii="Times New Roman" w:hAnsi="Times New Roman" w:cs="Times New Roman"/>
                      <w:szCs w:val="20"/>
                    </w:rPr>
                  </w:pPr>
                </w:p>
              </w:tc>
            </w:tr>
          </w:tbl>
          <w:p w:rsidR="00116B75" w:rsidRDefault="00116B75" w:rsidP="00116B75">
            <w:pPr>
              <w:rPr>
                <w:rFonts w:ascii="Times New Roman" w:hAnsi="Times New Roman"/>
                <w:b/>
                <w:sz w:val="24"/>
                <w:szCs w:val="24"/>
              </w:rPr>
            </w:pPr>
          </w:p>
        </w:tc>
      </w:tr>
    </w:tbl>
    <w:p w:rsidR="00C1493C" w:rsidRDefault="00C1493C"/>
    <w:sectPr w:rsidR="00C1493C" w:rsidSect="006051A2">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C5" w:rsidRDefault="00B603C5" w:rsidP="006051A2">
      <w:pPr>
        <w:spacing w:after="0" w:line="240" w:lineRule="auto"/>
      </w:pPr>
      <w:r>
        <w:separator/>
      </w:r>
    </w:p>
  </w:endnote>
  <w:endnote w:type="continuationSeparator" w:id="0">
    <w:p w:rsidR="00B603C5" w:rsidRDefault="00B603C5" w:rsidP="0060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2" w:rsidRDefault="006051A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2" w:rsidRDefault="006051A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2" w:rsidRDefault="006051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C5" w:rsidRDefault="00B603C5" w:rsidP="006051A2">
      <w:pPr>
        <w:spacing w:after="0" w:line="240" w:lineRule="auto"/>
      </w:pPr>
      <w:r>
        <w:separator/>
      </w:r>
    </w:p>
  </w:footnote>
  <w:footnote w:type="continuationSeparator" w:id="0">
    <w:p w:rsidR="00B603C5" w:rsidRDefault="00B603C5" w:rsidP="00605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2" w:rsidRDefault="006051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2" w:rsidRPr="006051A2" w:rsidRDefault="006051A2" w:rsidP="006051A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2" w:rsidRDefault="006051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9F9"/>
    <w:multiLevelType w:val="hybridMultilevel"/>
    <w:tmpl w:val="65DAC5C6"/>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0C00C6"/>
    <w:multiLevelType w:val="multilevel"/>
    <w:tmpl w:val="EC3E8F36"/>
    <w:lvl w:ilvl="0">
      <w:start w:val="1"/>
      <w:numFmt w:val="decimal"/>
      <w:lvlText w:val="%1."/>
      <w:lvlJc w:val="left"/>
      <w:pPr>
        <w:ind w:left="1287" w:hanging="360"/>
      </w:pPr>
      <w:rPr>
        <w:b w:val="0"/>
      </w:rPr>
    </w:lvl>
    <w:lvl w:ilvl="1">
      <w:start w:val="1"/>
      <w:numFmt w:val="decimal"/>
      <w:isLgl/>
      <w:lvlText w:val="%1.%2."/>
      <w:lvlJc w:val="left"/>
      <w:pPr>
        <w:ind w:left="1440" w:hanging="360"/>
      </w:pPr>
      <w:rPr>
        <w:rFonts w:hint="default"/>
      </w:rPr>
    </w:lvl>
    <w:lvl w:ilvl="2">
      <w:start w:val="1"/>
      <w:numFmt w:val="decimal"/>
      <w:isLgl/>
      <w:lvlText w:val="%3."/>
      <w:lvlJc w:val="left"/>
      <w:pPr>
        <w:ind w:left="1953" w:hanging="720"/>
      </w:pPr>
      <w:rPr>
        <w:rFonts w:ascii="Times New Roman" w:eastAsia="Times New Roman" w:hAnsi="Times New Roman" w:cs="Times New Roman"/>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2">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A9D6729"/>
    <w:multiLevelType w:val="hybridMultilevel"/>
    <w:tmpl w:val="A38A4F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5">
    <w:nsid w:val="3F031124"/>
    <w:multiLevelType w:val="multilevel"/>
    <w:tmpl w:val="A0F66A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AD47752"/>
    <w:multiLevelType w:val="hybridMultilevel"/>
    <w:tmpl w:val="ACA85E5A"/>
    <w:lvl w:ilvl="0" w:tplc="F72AD07C">
      <w:start w:val="2012"/>
      <w:numFmt w:val="bullet"/>
      <w:lvlText w:val=""/>
      <w:lvlJc w:val="left"/>
      <w:pPr>
        <w:ind w:left="720" w:hanging="360"/>
      </w:pPr>
      <w:rPr>
        <w:rFonts w:ascii="Symbol" w:eastAsiaTheme="maj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8754549"/>
    <w:multiLevelType w:val="multilevel"/>
    <w:tmpl w:val="2B466214"/>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1C"/>
    <w:rsid w:val="00116B75"/>
    <w:rsid w:val="001247BB"/>
    <w:rsid w:val="005B4B24"/>
    <w:rsid w:val="006003F0"/>
    <w:rsid w:val="006051A2"/>
    <w:rsid w:val="00760F9F"/>
    <w:rsid w:val="007A7FEA"/>
    <w:rsid w:val="00894783"/>
    <w:rsid w:val="009D571C"/>
    <w:rsid w:val="00AD7BAD"/>
    <w:rsid w:val="00B603C5"/>
    <w:rsid w:val="00C1493C"/>
    <w:rsid w:val="00C53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Normal bullet 2,Bullet list,2"/>
    <w:basedOn w:val="Parasts"/>
    <w:link w:val="SarakstarindkopaRakstz"/>
    <w:uiPriority w:val="34"/>
    <w:qFormat/>
    <w:rsid w:val="00C530A0"/>
    <w:pPr>
      <w:spacing w:after="0"/>
      <w:ind w:left="720"/>
      <w:contextualSpacing/>
    </w:pPr>
    <w:rPr>
      <w:rFonts w:ascii="Calibri" w:eastAsia="Times New Roman" w:hAnsi="Calibri" w:cs="Times New Roman"/>
      <w:lang w:eastAsia="lv-LV"/>
    </w:rPr>
  </w:style>
  <w:style w:type="paragraph" w:styleId="Galvene">
    <w:name w:val="header"/>
    <w:basedOn w:val="Parasts"/>
    <w:link w:val="GalveneRakstz"/>
    <w:rsid w:val="00C530A0"/>
    <w:pPr>
      <w:tabs>
        <w:tab w:val="center" w:pos="4153"/>
        <w:tab w:val="right" w:pos="8306"/>
      </w:tabs>
      <w:spacing w:after="0" w:line="240" w:lineRule="auto"/>
    </w:pPr>
    <w:rPr>
      <w:rFonts w:ascii="Calibri" w:eastAsia="Times New Roman" w:hAnsi="Calibri" w:cs="Times New Roman"/>
      <w:lang w:eastAsia="lv-LV"/>
    </w:rPr>
  </w:style>
  <w:style w:type="character" w:customStyle="1" w:styleId="GalveneRakstz">
    <w:name w:val="Galvene Rakstz."/>
    <w:basedOn w:val="Noklusjumarindkopasfonts"/>
    <w:link w:val="Galvene"/>
    <w:rsid w:val="00C530A0"/>
    <w:rPr>
      <w:rFonts w:ascii="Calibri" w:eastAsia="Times New Roman" w:hAnsi="Calibri" w:cs="Times New Roman"/>
      <w:lang w:eastAsia="lv-LV"/>
    </w:rPr>
  </w:style>
  <w:style w:type="character" w:customStyle="1" w:styleId="SarakstarindkopaRakstz">
    <w:name w:val="Saraksta rindkopa Rakstz."/>
    <w:aliases w:val="Strip Rakstz.,H&amp;P List Paragraph Rakstz.,Normal bullet 2 Rakstz.,Bullet list Rakstz.,2 Rakstz."/>
    <w:link w:val="Sarakstarindkopa"/>
    <w:qFormat/>
    <w:locked/>
    <w:rsid w:val="00C530A0"/>
    <w:rPr>
      <w:rFonts w:ascii="Calibri" w:eastAsia="Times New Roman" w:hAnsi="Calibri" w:cs="Times New Roman"/>
      <w:lang w:eastAsia="lv-LV"/>
    </w:rPr>
  </w:style>
  <w:style w:type="paragraph" w:styleId="Kjene">
    <w:name w:val="footer"/>
    <w:basedOn w:val="Parasts"/>
    <w:link w:val="KjeneRakstz"/>
    <w:uiPriority w:val="99"/>
    <w:unhideWhenUsed/>
    <w:rsid w:val="006051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5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Normal bullet 2,Bullet list,2"/>
    <w:basedOn w:val="Parasts"/>
    <w:link w:val="SarakstarindkopaRakstz"/>
    <w:uiPriority w:val="34"/>
    <w:qFormat/>
    <w:rsid w:val="00C530A0"/>
    <w:pPr>
      <w:spacing w:after="0"/>
      <w:ind w:left="720"/>
      <w:contextualSpacing/>
    </w:pPr>
    <w:rPr>
      <w:rFonts w:ascii="Calibri" w:eastAsia="Times New Roman" w:hAnsi="Calibri" w:cs="Times New Roman"/>
      <w:lang w:eastAsia="lv-LV"/>
    </w:rPr>
  </w:style>
  <w:style w:type="paragraph" w:styleId="Galvene">
    <w:name w:val="header"/>
    <w:basedOn w:val="Parasts"/>
    <w:link w:val="GalveneRakstz"/>
    <w:rsid w:val="00C530A0"/>
    <w:pPr>
      <w:tabs>
        <w:tab w:val="center" w:pos="4153"/>
        <w:tab w:val="right" w:pos="8306"/>
      </w:tabs>
      <w:spacing w:after="0" w:line="240" w:lineRule="auto"/>
    </w:pPr>
    <w:rPr>
      <w:rFonts w:ascii="Calibri" w:eastAsia="Times New Roman" w:hAnsi="Calibri" w:cs="Times New Roman"/>
      <w:lang w:eastAsia="lv-LV"/>
    </w:rPr>
  </w:style>
  <w:style w:type="character" w:customStyle="1" w:styleId="GalveneRakstz">
    <w:name w:val="Galvene Rakstz."/>
    <w:basedOn w:val="Noklusjumarindkopasfonts"/>
    <w:link w:val="Galvene"/>
    <w:rsid w:val="00C530A0"/>
    <w:rPr>
      <w:rFonts w:ascii="Calibri" w:eastAsia="Times New Roman" w:hAnsi="Calibri" w:cs="Times New Roman"/>
      <w:lang w:eastAsia="lv-LV"/>
    </w:rPr>
  </w:style>
  <w:style w:type="character" w:customStyle="1" w:styleId="SarakstarindkopaRakstz">
    <w:name w:val="Saraksta rindkopa Rakstz."/>
    <w:aliases w:val="Strip Rakstz.,H&amp;P List Paragraph Rakstz.,Normal bullet 2 Rakstz.,Bullet list Rakstz.,2 Rakstz."/>
    <w:link w:val="Sarakstarindkopa"/>
    <w:qFormat/>
    <w:locked/>
    <w:rsid w:val="00C530A0"/>
    <w:rPr>
      <w:rFonts w:ascii="Calibri" w:eastAsia="Times New Roman" w:hAnsi="Calibri" w:cs="Times New Roman"/>
      <w:lang w:eastAsia="lv-LV"/>
    </w:rPr>
  </w:style>
  <w:style w:type="paragraph" w:styleId="Kjene">
    <w:name w:val="footer"/>
    <w:basedOn w:val="Parasts"/>
    <w:link w:val="KjeneRakstz"/>
    <w:uiPriority w:val="99"/>
    <w:unhideWhenUsed/>
    <w:rsid w:val="006051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2815</Words>
  <Characters>1605</Characters>
  <Application>Microsoft Office Word</Application>
  <DocSecurity>0</DocSecurity>
  <Lines>13</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2021-05-13T13:28:00Z</dcterms:created>
  <dcterms:modified xsi:type="dcterms:W3CDTF">2021-07-21T05:44:00Z</dcterms:modified>
</cp:coreProperties>
</file>